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6A" w:rsidRDefault="00A908EF" w:rsidP="0059597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14605</wp:posOffset>
                </wp:positionV>
                <wp:extent cx="5140325" cy="91694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32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972" w:rsidRDefault="00595972">
                            <w:r>
                              <w:object w:dxaOrig="13052" w:dyaOrig="22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89.25pt;height:67.5pt" o:ole="" fillcolor="window">
                                  <v:imagedata r:id="rId8" o:title=""/>
                                </v:shape>
                                <o:OLEObject Type="Embed" ProgID="PBrush" ShapeID="_x0000_i1026" DrawAspect="Content" ObjectID="_144232370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55pt;margin-top:1.15pt;width:404.75pt;height: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" filled="f" fillcolor="black" stroked="f">
                <v:fill opacity="32896f"/>
                <v:textbox>
                  <w:txbxContent>
                    <w:p w:rsidR="00595972" w:rsidRDefault="00595972">
                      <w:r>
                        <w:object w:dxaOrig="13052" w:dyaOrig="2250">
                          <v:shape id="_x0000_i1026" type="#_x0000_t75" style="width:389.25pt;height:67.5pt" o:ole="" fillcolor="window">
                            <v:imagedata r:id="rId8" o:title=""/>
                          </v:shape>
                          <o:OLEObject Type="Embed" ProgID="PBrush" ShapeID="_x0000_i1026" DrawAspect="Content" ObjectID="_14423237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95972">
        <w:object w:dxaOrig="5864" w:dyaOrig="5114">
          <v:shape id="_x0000_i1025" type="#_x0000_t75" style="width:95.25pt;height:83.25pt" o:ole="" fillcolor="window">
            <v:imagedata r:id="rId11" o:title=""/>
          </v:shape>
          <o:OLEObject Type="Embed" ProgID="PBrush" ShapeID="_x0000_i1025" DrawAspect="Content" ObjectID="_1442323705" r:id="rId12"/>
        </w:object>
      </w:r>
      <w:r w:rsidR="00AE2B6A">
        <w:tab/>
      </w:r>
      <w:r w:rsidR="00AE2B6A">
        <w:tab/>
      </w:r>
      <w:r w:rsidR="00AE2B6A">
        <w:tab/>
      </w:r>
      <w:r w:rsidR="00AE2B6A" w:rsidRPr="00AE2B6A">
        <w:t xml:space="preserve">membre de la </w:t>
      </w:r>
      <w:r w:rsidR="00AE2B6A" w:rsidRPr="00AE2B6A">
        <w:rPr>
          <w:i/>
        </w:rPr>
        <w:t>Fédération Patrimoine-Environnement</w:t>
      </w:r>
      <w:r w:rsidR="00AE2B6A" w:rsidRPr="00AE2B6A">
        <w:t xml:space="preserve"> </w:t>
      </w:r>
    </w:p>
    <w:p w:rsidR="00641C0D" w:rsidRPr="007C6AA3" w:rsidRDefault="00595972" w:rsidP="007C6AA3">
      <w:pPr>
        <w:rPr>
          <w:lang w:val="en-US"/>
        </w:rPr>
      </w:pPr>
      <w:r w:rsidRPr="00AE2B6A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="006116B9" w:rsidRPr="00AE2B6A">
        <w:rPr>
          <w:sz w:val="24"/>
          <w:szCs w:val="24"/>
          <w:lang w:val="en-US"/>
        </w:rPr>
        <w:tab/>
      </w:r>
      <w:r w:rsidR="006116B9" w:rsidRPr="00AE2B6A">
        <w:rPr>
          <w:sz w:val="24"/>
          <w:szCs w:val="24"/>
          <w:lang w:val="en-US"/>
        </w:rPr>
        <w:tab/>
      </w:r>
      <w:r w:rsidR="006116B9" w:rsidRPr="00AE2B6A">
        <w:rPr>
          <w:sz w:val="24"/>
          <w:szCs w:val="24"/>
          <w:lang w:val="en-US"/>
        </w:rPr>
        <w:tab/>
      </w:r>
      <w:r w:rsidR="006116B9" w:rsidRPr="00AE2B6A">
        <w:rPr>
          <w:sz w:val="24"/>
          <w:szCs w:val="24"/>
          <w:lang w:val="en-US"/>
        </w:rPr>
        <w:tab/>
      </w:r>
      <w:r w:rsidR="006116B9" w:rsidRPr="00AE2B6A">
        <w:rPr>
          <w:sz w:val="24"/>
          <w:szCs w:val="24"/>
          <w:lang w:val="en-US"/>
        </w:rPr>
        <w:tab/>
      </w:r>
      <w:r w:rsidR="006116B9" w:rsidRPr="00AE2B6A">
        <w:rPr>
          <w:sz w:val="24"/>
          <w:szCs w:val="24"/>
          <w:lang w:val="en-US"/>
        </w:rPr>
        <w:tab/>
      </w:r>
      <w:r w:rsidR="006116B9" w:rsidRPr="00AE2B6A">
        <w:rPr>
          <w:sz w:val="24"/>
          <w:szCs w:val="24"/>
          <w:lang w:val="en-US"/>
        </w:rPr>
        <w:tab/>
      </w:r>
    </w:p>
    <w:p w:rsidR="009B2602" w:rsidRDefault="009B2602">
      <w:pPr>
        <w:jc w:val="both"/>
        <w:rPr>
          <w:sz w:val="24"/>
          <w:szCs w:val="24"/>
          <w:lang w:val="en-US"/>
        </w:rPr>
      </w:pPr>
    </w:p>
    <w:p w:rsidR="009B2602" w:rsidRPr="001E36A9" w:rsidRDefault="009B2602" w:rsidP="001E36A9">
      <w:pPr>
        <w:jc w:val="center"/>
        <w:rPr>
          <w:sz w:val="36"/>
          <w:szCs w:val="36"/>
          <w:u w:val="single"/>
          <w:lang w:val="en-US"/>
        </w:rPr>
      </w:pPr>
      <w:r w:rsidRPr="001E36A9">
        <w:rPr>
          <w:sz w:val="36"/>
          <w:szCs w:val="36"/>
          <w:u w:val="single"/>
          <w:lang w:val="en-US"/>
        </w:rPr>
        <w:t>Formation des Chargés d’inventaire campanaire</w:t>
      </w:r>
    </w:p>
    <w:p w:rsidR="009B2602" w:rsidRDefault="009B2602" w:rsidP="009B2602">
      <w:pPr>
        <w:spacing w:before="120"/>
        <w:jc w:val="both"/>
        <w:rPr>
          <w:sz w:val="24"/>
          <w:szCs w:val="24"/>
          <w:lang w:val="en-US"/>
        </w:rPr>
      </w:pPr>
    </w:p>
    <w:p w:rsidR="007F5AEE" w:rsidRPr="00621E25" w:rsidRDefault="007F5AEE" w:rsidP="009B2602">
      <w:pPr>
        <w:spacing w:before="120"/>
        <w:jc w:val="both"/>
        <w:rPr>
          <w:b/>
          <w:sz w:val="24"/>
          <w:szCs w:val="24"/>
        </w:rPr>
      </w:pPr>
      <w:r w:rsidRPr="00621E25">
        <w:rPr>
          <w:b/>
          <w:sz w:val="24"/>
          <w:szCs w:val="24"/>
        </w:rPr>
        <w:t>Pour qui ?</w:t>
      </w:r>
      <w:bookmarkStart w:id="0" w:name="_GoBack"/>
      <w:bookmarkEnd w:id="0"/>
    </w:p>
    <w:p w:rsidR="009B2602" w:rsidRDefault="009B2602" w:rsidP="009B2602">
      <w:pPr>
        <w:spacing w:before="120"/>
        <w:jc w:val="both"/>
        <w:rPr>
          <w:sz w:val="24"/>
          <w:szCs w:val="24"/>
        </w:rPr>
      </w:pPr>
      <w:r w:rsidRPr="009B2602">
        <w:rPr>
          <w:sz w:val="24"/>
          <w:szCs w:val="24"/>
        </w:rPr>
        <w:t xml:space="preserve">La Société Française de </w:t>
      </w:r>
      <w:r w:rsidR="001E36A9">
        <w:rPr>
          <w:sz w:val="24"/>
          <w:szCs w:val="24"/>
        </w:rPr>
        <w:t>C</w:t>
      </w:r>
      <w:r w:rsidRPr="009B2602">
        <w:rPr>
          <w:sz w:val="24"/>
          <w:szCs w:val="24"/>
        </w:rPr>
        <w:t>ampanologie organi</w:t>
      </w:r>
      <w:r>
        <w:rPr>
          <w:sz w:val="24"/>
          <w:szCs w:val="24"/>
        </w:rPr>
        <w:t>s</w:t>
      </w:r>
      <w:r w:rsidRPr="009B2602">
        <w:rPr>
          <w:sz w:val="24"/>
          <w:szCs w:val="24"/>
        </w:rPr>
        <w:t xml:space="preserve">e une </w:t>
      </w:r>
      <w:r w:rsidR="001E36A9">
        <w:rPr>
          <w:sz w:val="24"/>
          <w:szCs w:val="24"/>
        </w:rPr>
        <w:t xml:space="preserve">session de </w:t>
      </w:r>
      <w:r w:rsidRPr="009B2602">
        <w:rPr>
          <w:sz w:val="24"/>
          <w:szCs w:val="24"/>
        </w:rPr>
        <w:t>formation destin</w:t>
      </w:r>
      <w:r>
        <w:rPr>
          <w:sz w:val="24"/>
          <w:szCs w:val="24"/>
        </w:rPr>
        <w:t>é</w:t>
      </w:r>
      <w:r w:rsidRPr="009B2602">
        <w:rPr>
          <w:sz w:val="24"/>
          <w:szCs w:val="24"/>
        </w:rPr>
        <w:t xml:space="preserve">e aux personnes </w:t>
      </w:r>
      <w:r>
        <w:rPr>
          <w:sz w:val="24"/>
          <w:szCs w:val="24"/>
        </w:rPr>
        <w:t xml:space="preserve">francophones </w:t>
      </w:r>
      <w:r w:rsidRPr="009B2602">
        <w:rPr>
          <w:sz w:val="24"/>
          <w:szCs w:val="24"/>
        </w:rPr>
        <w:t>impliquées dans une activité d’inventaire campanaire</w:t>
      </w:r>
      <w:r>
        <w:rPr>
          <w:sz w:val="24"/>
          <w:szCs w:val="24"/>
        </w:rPr>
        <w:t xml:space="preserve"> et qui souhaitent acquérir les compétences nécessaires, théoriques et pratiques, pour engager et mener à bien un travail d’inventaire </w:t>
      </w:r>
      <w:r w:rsidR="001E36A9">
        <w:rPr>
          <w:sz w:val="24"/>
          <w:szCs w:val="24"/>
        </w:rPr>
        <w:t xml:space="preserve">spécifique au domaine campanaire </w:t>
      </w:r>
      <w:r>
        <w:rPr>
          <w:sz w:val="24"/>
          <w:szCs w:val="24"/>
        </w:rPr>
        <w:t>ou qui, ayant déjà une expérience, souhaitent se perfectionner en vue de présenter leur candidature à la certification de compétence délivrée par la SFC</w:t>
      </w:r>
      <w:r w:rsidR="001E36A9">
        <w:rPr>
          <w:sz w:val="24"/>
          <w:szCs w:val="24"/>
        </w:rPr>
        <w:t>.</w:t>
      </w:r>
    </w:p>
    <w:p w:rsidR="009B2602" w:rsidRPr="002C738C" w:rsidRDefault="009B2602" w:rsidP="009B2602">
      <w:pPr>
        <w:spacing w:before="120"/>
        <w:jc w:val="both"/>
        <w:rPr>
          <w:b/>
          <w:sz w:val="24"/>
          <w:szCs w:val="24"/>
        </w:rPr>
      </w:pPr>
      <w:r w:rsidRPr="002C738C">
        <w:rPr>
          <w:b/>
          <w:sz w:val="24"/>
          <w:szCs w:val="24"/>
        </w:rPr>
        <w:t>Quand ? </w:t>
      </w:r>
    </w:p>
    <w:p w:rsidR="009B2602" w:rsidRDefault="009B2602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Cette formation se déroulera</w:t>
      </w:r>
      <w:r w:rsidR="007F5AEE">
        <w:rPr>
          <w:sz w:val="24"/>
          <w:szCs w:val="24"/>
        </w:rPr>
        <w:t xml:space="preserve"> au moment de l’Ascension, </w:t>
      </w:r>
      <w:r w:rsidRPr="009B2602">
        <w:rPr>
          <w:sz w:val="24"/>
          <w:szCs w:val="24"/>
        </w:rPr>
        <w:t>du jeudi 28 mai au samedi 30 mai 2014</w:t>
      </w:r>
      <w:r w:rsidR="001E36A9">
        <w:rPr>
          <w:sz w:val="24"/>
          <w:szCs w:val="24"/>
        </w:rPr>
        <w:t>.</w:t>
      </w:r>
    </w:p>
    <w:p w:rsidR="007F5AEE" w:rsidRPr="002C738C" w:rsidRDefault="007F5AEE" w:rsidP="009B2602">
      <w:pPr>
        <w:spacing w:before="120"/>
        <w:jc w:val="both"/>
        <w:rPr>
          <w:b/>
          <w:sz w:val="24"/>
          <w:szCs w:val="24"/>
        </w:rPr>
      </w:pPr>
      <w:r w:rsidRPr="002C738C">
        <w:rPr>
          <w:b/>
          <w:sz w:val="24"/>
          <w:szCs w:val="24"/>
        </w:rPr>
        <w:t>Où ?</w:t>
      </w:r>
    </w:p>
    <w:p w:rsidR="007F5AEE" w:rsidRDefault="007C6AA3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session </w:t>
      </w:r>
      <w:r w:rsidR="007F5AEE">
        <w:rPr>
          <w:sz w:val="24"/>
          <w:szCs w:val="24"/>
        </w:rPr>
        <w:t>se dérouler</w:t>
      </w:r>
      <w:r>
        <w:rPr>
          <w:sz w:val="24"/>
          <w:szCs w:val="24"/>
        </w:rPr>
        <w:t>a</w:t>
      </w:r>
      <w:r w:rsidR="007F5AEE">
        <w:rPr>
          <w:sz w:val="24"/>
          <w:szCs w:val="24"/>
        </w:rPr>
        <w:t xml:space="preserve"> dans une paroisse proche de Paris</w:t>
      </w:r>
      <w:r w:rsidR="001E36A9">
        <w:rPr>
          <w:sz w:val="24"/>
          <w:szCs w:val="24"/>
        </w:rPr>
        <w:t>.</w:t>
      </w:r>
    </w:p>
    <w:p w:rsidR="007F5AEE" w:rsidRPr="002C738C" w:rsidRDefault="007F5AEE" w:rsidP="009B2602">
      <w:pPr>
        <w:spacing w:before="120"/>
        <w:jc w:val="both"/>
        <w:rPr>
          <w:b/>
          <w:sz w:val="24"/>
          <w:szCs w:val="24"/>
        </w:rPr>
      </w:pPr>
      <w:r w:rsidRPr="002C738C">
        <w:rPr>
          <w:b/>
          <w:sz w:val="24"/>
          <w:szCs w:val="24"/>
        </w:rPr>
        <w:t>Quel Programme ?</w:t>
      </w:r>
    </w:p>
    <w:p w:rsidR="007F5AEE" w:rsidRDefault="007F5AEE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Se reporter à l’annexe</w:t>
      </w:r>
      <w:r w:rsidR="001E36A9">
        <w:rPr>
          <w:sz w:val="24"/>
          <w:szCs w:val="24"/>
        </w:rPr>
        <w:t>.</w:t>
      </w:r>
      <w:r w:rsidR="007C6AA3" w:rsidRPr="007C6AA3">
        <w:rPr>
          <w:sz w:val="24"/>
          <w:szCs w:val="24"/>
        </w:rPr>
        <w:t xml:space="preserve"> </w:t>
      </w:r>
      <w:r w:rsidR="007C6AA3">
        <w:rPr>
          <w:sz w:val="24"/>
          <w:szCs w:val="24"/>
        </w:rPr>
        <w:t>Il est prévu une alternance d’exposés méthodologiques, d’études de cas sur documents, d’exercices d’application dans un clocher. Une large place sera laissée aux échanges entre les participants.</w:t>
      </w:r>
    </w:p>
    <w:p w:rsidR="007F5AEE" w:rsidRPr="002C738C" w:rsidRDefault="002C738C" w:rsidP="009B2602">
      <w:pPr>
        <w:spacing w:before="120"/>
        <w:jc w:val="both"/>
        <w:rPr>
          <w:b/>
          <w:sz w:val="24"/>
          <w:szCs w:val="24"/>
        </w:rPr>
      </w:pPr>
      <w:r w:rsidRPr="002C738C">
        <w:rPr>
          <w:b/>
          <w:sz w:val="24"/>
          <w:szCs w:val="24"/>
        </w:rPr>
        <w:t>Animée par qui ?</w:t>
      </w:r>
    </w:p>
    <w:p w:rsidR="002C738C" w:rsidRDefault="002C738C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L’animateur principal sera Régis Singer, expert campanaire, assisté d’Eric Sutter</w:t>
      </w:r>
      <w:r w:rsidR="001E36A9">
        <w:rPr>
          <w:sz w:val="24"/>
          <w:szCs w:val="24"/>
        </w:rPr>
        <w:t>, SFC.</w:t>
      </w:r>
    </w:p>
    <w:p w:rsidR="002C738C" w:rsidRPr="002C738C" w:rsidRDefault="002C738C" w:rsidP="009B2602">
      <w:pPr>
        <w:spacing w:before="120"/>
        <w:jc w:val="both"/>
        <w:rPr>
          <w:b/>
          <w:sz w:val="24"/>
          <w:szCs w:val="24"/>
        </w:rPr>
      </w:pPr>
      <w:r w:rsidRPr="002C738C">
        <w:rPr>
          <w:b/>
          <w:sz w:val="24"/>
          <w:szCs w:val="24"/>
        </w:rPr>
        <w:t>A quel coût ?</w:t>
      </w:r>
    </w:p>
    <w:p w:rsidR="002C738C" w:rsidRDefault="002C738C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contribution aux frais d’organisation sera demandée (paiement à l’inscription) ; le montant sera déterminé début 2014. Une demande de subvention </w:t>
      </w:r>
      <w:r w:rsidR="001E36A9">
        <w:rPr>
          <w:sz w:val="24"/>
          <w:szCs w:val="24"/>
        </w:rPr>
        <w:t>va être</w:t>
      </w:r>
      <w:r>
        <w:rPr>
          <w:sz w:val="24"/>
          <w:szCs w:val="24"/>
        </w:rPr>
        <w:t xml:space="preserve"> déposée pour couvrir le cas échéant une partie des frais de déplacement et d’hébergement.</w:t>
      </w:r>
    </w:p>
    <w:p w:rsidR="002C738C" w:rsidRDefault="002C738C" w:rsidP="009B2602">
      <w:pPr>
        <w:pBdr>
          <w:bottom w:val="single" w:sz="6" w:space="1" w:color="auto"/>
        </w:pBd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Si vous êtes intéressé par cette formation et que vous souhaitez recevoir début 2014 le formulaire d’inscription avec les conditions financières et le</w:t>
      </w:r>
      <w:r w:rsidR="001E36A9">
        <w:rPr>
          <w:sz w:val="24"/>
          <w:szCs w:val="24"/>
        </w:rPr>
        <w:t xml:space="preserve"> lieu précis de la session, merci de retourner ce c</w:t>
      </w:r>
      <w:r>
        <w:rPr>
          <w:sz w:val="24"/>
          <w:szCs w:val="24"/>
        </w:rPr>
        <w:t xml:space="preserve">oupon à </w:t>
      </w:r>
      <w:r w:rsidR="007C6AA3">
        <w:rPr>
          <w:sz w:val="24"/>
          <w:szCs w:val="24"/>
        </w:rPr>
        <w:t>à la SFC</w:t>
      </w:r>
      <w:r w:rsidR="001E36A9">
        <w:rPr>
          <w:sz w:val="24"/>
          <w:szCs w:val="24"/>
        </w:rPr>
        <w:t>, 41 av de Charlebourg 92250 La Garenne-Colombes.</w:t>
      </w:r>
    </w:p>
    <w:p w:rsidR="001E36A9" w:rsidRDefault="001E36A9" w:rsidP="009B2602">
      <w:pPr>
        <w:pBdr>
          <w:bottom w:val="single" w:sz="6" w:space="1" w:color="auto"/>
        </w:pBdr>
        <w:spacing w:before="120"/>
        <w:jc w:val="both"/>
        <w:rPr>
          <w:sz w:val="24"/>
          <w:szCs w:val="24"/>
        </w:rPr>
      </w:pPr>
    </w:p>
    <w:p w:rsidR="001E36A9" w:rsidRDefault="001E36A9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</w:p>
    <w:p w:rsidR="001E36A9" w:rsidRDefault="001E36A9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Adresse postale :</w:t>
      </w:r>
    </w:p>
    <w:p w:rsidR="001E36A9" w:rsidRDefault="001E36A9" w:rsidP="009B2602">
      <w:pPr>
        <w:spacing w:before="120"/>
        <w:jc w:val="both"/>
        <w:rPr>
          <w:sz w:val="24"/>
          <w:szCs w:val="24"/>
        </w:rPr>
      </w:pPr>
    </w:p>
    <w:p w:rsidR="001E36A9" w:rsidRDefault="001E36A9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Adresse électronique :</w:t>
      </w:r>
    </w:p>
    <w:p w:rsidR="001E36A9" w:rsidRPr="009B2602" w:rsidRDefault="001E36A9" w:rsidP="009B260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Souhaite être tenu informé des modalités d’inscription et des conditions financières concernant la formation de </w:t>
      </w:r>
      <w:r w:rsidRPr="001E36A9">
        <w:rPr>
          <w:b/>
          <w:sz w:val="24"/>
          <w:szCs w:val="24"/>
        </w:rPr>
        <w:t>Chargés d’inventaire campanaire</w:t>
      </w:r>
      <w:r>
        <w:rPr>
          <w:sz w:val="24"/>
          <w:szCs w:val="24"/>
        </w:rPr>
        <w:t xml:space="preserve"> organisée par la SFC du 28 mai au 30 mai 2014.</w:t>
      </w:r>
    </w:p>
    <w:p w:rsidR="009B2602" w:rsidRPr="009B2602" w:rsidRDefault="009B2602">
      <w:pPr>
        <w:jc w:val="both"/>
        <w:rPr>
          <w:sz w:val="24"/>
          <w:szCs w:val="24"/>
        </w:rPr>
      </w:pPr>
    </w:p>
    <w:p w:rsidR="009B2602" w:rsidRDefault="009B2602">
      <w:pPr>
        <w:rPr>
          <w:b/>
        </w:rPr>
      </w:pPr>
      <w:r>
        <w:rPr>
          <w:b/>
        </w:rPr>
        <w:br w:type="page"/>
      </w:r>
    </w:p>
    <w:p w:rsidR="009B2602" w:rsidRPr="009B2602" w:rsidRDefault="009B2602" w:rsidP="009B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4"/>
          <w:szCs w:val="24"/>
        </w:rPr>
      </w:pPr>
      <w:r w:rsidRPr="009B2602">
        <w:rPr>
          <w:b/>
          <w:sz w:val="24"/>
          <w:szCs w:val="24"/>
        </w:rPr>
        <w:lastRenderedPageBreak/>
        <w:t>Chargés d’inventaire campanaire</w:t>
      </w:r>
    </w:p>
    <w:p w:rsidR="009B2602" w:rsidRDefault="009B2602" w:rsidP="009B2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28"/>
        </w:rPr>
      </w:pPr>
      <w:r w:rsidRPr="009B260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 w:rsidR="007C6AA3">
        <w:rPr>
          <w:b/>
          <w:sz w:val="28"/>
          <w:szCs w:val="28"/>
        </w:rPr>
        <w:t>é-pr</w:t>
      </w:r>
      <w:r>
        <w:rPr>
          <w:b/>
          <w:sz w:val="28"/>
          <w:szCs w:val="28"/>
        </w:rPr>
        <w:t>ogramme de formation</w:t>
      </w:r>
    </w:p>
    <w:p w:rsidR="007F5AEE" w:rsidRDefault="007F5AEE" w:rsidP="007F5AEE">
      <w:pPr>
        <w:spacing w:before="120"/>
        <w:jc w:val="both"/>
        <w:rPr>
          <w:sz w:val="24"/>
          <w:szCs w:val="24"/>
        </w:rPr>
      </w:pPr>
    </w:p>
    <w:p w:rsidR="007F5AEE" w:rsidRDefault="007F5AEE" w:rsidP="007F5AE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Début de la session : jeudi 28 mai</w:t>
      </w:r>
      <w:r w:rsidR="007C6AA3">
        <w:rPr>
          <w:sz w:val="24"/>
          <w:szCs w:val="24"/>
        </w:rPr>
        <w:t xml:space="preserve"> (jour de l’Ascension)</w:t>
      </w:r>
      <w:r>
        <w:rPr>
          <w:sz w:val="24"/>
          <w:szCs w:val="24"/>
        </w:rPr>
        <w:t xml:space="preserve"> à 14h15</w:t>
      </w:r>
    </w:p>
    <w:p w:rsidR="009B2602" w:rsidRDefault="009B2602" w:rsidP="009B2602">
      <w:pPr>
        <w:rPr>
          <w:sz w:val="24"/>
          <w:szCs w:val="24"/>
        </w:rPr>
      </w:pPr>
    </w:p>
    <w:p w:rsidR="009B2602" w:rsidRDefault="009B2602" w:rsidP="009B2602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Exposé introductif</w:t>
      </w:r>
    </w:p>
    <w:p w:rsidR="009B2602" w:rsidRDefault="009B2602" w:rsidP="009B2602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Objectifs et buts d’un inventaire campanaire </w:t>
      </w:r>
    </w:p>
    <w:p w:rsidR="009B2602" w:rsidRDefault="009B2602" w:rsidP="009B2602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Mandatement par la SFC en lien éventuel avec les services régionaux de l’Inventaire ; </w:t>
      </w:r>
    </w:p>
    <w:p w:rsidR="009B2602" w:rsidRDefault="009B2602" w:rsidP="009B2602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Typologie des différents clochers et des différents modes de sonnerie ; vocabulaire campanaire ;</w:t>
      </w:r>
    </w:p>
    <w:p w:rsidR="009B2602" w:rsidRDefault="009B2602" w:rsidP="009B2602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Préparation : repérage et choix du site ; contacts à prendre ; gestion du suivi ;</w:t>
      </w:r>
    </w:p>
    <w:p w:rsidR="009B2602" w:rsidRDefault="009B2602" w:rsidP="009B2602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Précautions à prendre ; équipement ; matériel et support de collecte des données ;</w:t>
      </w:r>
    </w:p>
    <w:p w:rsidR="009B2602" w:rsidRDefault="009B2602" w:rsidP="009B2602">
      <w:pPr>
        <w:pStyle w:val="Paragraphedelist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Inventaire proprement-dit : 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Mensurations de la cloche, prise des différentes mesures ;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Inscriptions de la cloche (épigraphie) : (différents caractères : onciales, gothiques, romains) ; abréviations ; décors de la cloche : (iconographie) : (blasons, effigies, frises, filets, cartouches, etc) ; techniques de frottis, moulages, etc. ;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Analyse musicale : relevé de la note au coup et de l’indice d’octave ; durée de résonance, etc. ;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Accessoires de la cloche : joug, paliers, ferrures, bélière, baudrier, battant, roue de sonnerie ou bras de tirage, corde, moteur de mise à la volée, moteur de tintement, etc ;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Beffroi (bois ou métal) ;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Mécanisme d’horloge (en service ou déposé) et accessoires (poids, balancier, tringlerie, marteau extérieur, etc) ;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photographique (vue générale et détails) ;</w:t>
      </w:r>
    </w:p>
    <w:p w:rsidR="009B2602" w:rsidRDefault="009B2602" w:rsidP="009B2602">
      <w:pPr>
        <w:pStyle w:val="Paragraphedeliste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Travail de repérage d’éléments particuliers dans le clocher ainsi que des dysfonctionnements évidents (par exemple : usure à la frappe, mauvais</w:t>
      </w:r>
      <w:r w:rsidR="007C6AA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position d’un marteau de tintement, etc)</w:t>
      </w:r>
    </w:p>
    <w:p w:rsidR="009B2602" w:rsidRDefault="009B2602" w:rsidP="009B260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Exploitation complémentaire à partir des archives : étude sur les personnages cités dans l’inscription (généalogie, héraldique, histoire locale) ; étude sur le patrimoine campanaire existant avant la Révolution ; étude sur le(s) fondeur(s) ;</w:t>
      </w:r>
    </w:p>
    <w:p w:rsidR="009B2602" w:rsidRDefault="009B2602" w:rsidP="009B260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Etude sur les pratiques locales (façon de sonner, carillonnage, etc) ; </w:t>
      </w:r>
    </w:p>
    <w:p w:rsidR="009B2602" w:rsidRDefault="009B2602" w:rsidP="009B260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Exploitation de la collecte des données : rédaction du rapport de visite ; alimentation de la base de donnée RECIF et d’autres bases spécialisées ; diffusion éventuelle ;</w:t>
      </w:r>
    </w:p>
    <w:p w:rsidR="009B2602" w:rsidRDefault="009B2602" w:rsidP="009B260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Aspect financier de l’activité d’inventaire ;</w:t>
      </w:r>
    </w:p>
    <w:p w:rsidR="009B2602" w:rsidRPr="007C6AA3" w:rsidRDefault="009B2602" w:rsidP="009B260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Présentation de la procédure de certification des compétences.</w:t>
      </w:r>
    </w:p>
    <w:p w:rsidR="009B2602" w:rsidRPr="009B2602" w:rsidRDefault="007F5AEE">
      <w:pPr>
        <w:jc w:val="both"/>
        <w:rPr>
          <w:sz w:val="24"/>
          <w:szCs w:val="24"/>
        </w:rPr>
      </w:pPr>
      <w:r>
        <w:rPr>
          <w:sz w:val="24"/>
          <w:szCs w:val="24"/>
        </w:rPr>
        <w:t>Fin de la session : samedi 30 mai vers 17h</w:t>
      </w:r>
    </w:p>
    <w:sectPr w:rsidR="009B2602" w:rsidRPr="009B2602" w:rsidSect="00595972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09" w:rsidRDefault="00AB6309">
      <w:r>
        <w:separator/>
      </w:r>
    </w:p>
  </w:endnote>
  <w:endnote w:type="continuationSeparator" w:id="0">
    <w:p w:rsidR="00AB6309" w:rsidRDefault="00AB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09" w:rsidRDefault="00AB6309">
      <w:r>
        <w:separator/>
      </w:r>
    </w:p>
  </w:footnote>
  <w:footnote w:type="continuationSeparator" w:id="0">
    <w:p w:rsidR="00AB6309" w:rsidRDefault="00AB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810"/>
    <w:multiLevelType w:val="hybridMultilevel"/>
    <w:tmpl w:val="7CE6EB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2642"/>
    <w:multiLevelType w:val="hybridMultilevel"/>
    <w:tmpl w:val="DBE44D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D241C"/>
    <w:multiLevelType w:val="hybridMultilevel"/>
    <w:tmpl w:val="358A3E9C"/>
    <w:lvl w:ilvl="0" w:tplc="0C04466E">
      <w:numFmt w:val="bullet"/>
      <w:lvlText w:val=""/>
      <w:lvlJc w:val="left"/>
      <w:pPr>
        <w:tabs>
          <w:tab w:val="num" w:pos="2484"/>
        </w:tabs>
        <w:ind w:left="2484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EE"/>
    <w:rsid w:val="0004138A"/>
    <w:rsid w:val="000C6D2E"/>
    <w:rsid w:val="001E36A9"/>
    <w:rsid w:val="002C738C"/>
    <w:rsid w:val="004B144C"/>
    <w:rsid w:val="00595972"/>
    <w:rsid w:val="006116B9"/>
    <w:rsid w:val="00621E25"/>
    <w:rsid w:val="00641C0D"/>
    <w:rsid w:val="007B5D03"/>
    <w:rsid w:val="007C6AA3"/>
    <w:rsid w:val="007F5AEE"/>
    <w:rsid w:val="008A679D"/>
    <w:rsid w:val="00914344"/>
    <w:rsid w:val="009B2602"/>
    <w:rsid w:val="00A077D5"/>
    <w:rsid w:val="00A52D66"/>
    <w:rsid w:val="00A908EF"/>
    <w:rsid w:val="00AB6309"/>
    <w:rsid w:val="00AE2B6A"/>
    <w:rsid w:val="00B06DA5"/>
    <w:rsid w:val="00B833BD"/>
    <w:rsid w:val="00DC71CD"/>
    <w:rsid w:val="00E418EE"/>
    <w:rsid w:val="00E53A47"/>
    <w:rsid w:val="00E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D03"/>
  </w:style>
  <w:style w:type="paragraph" w:styleId="Titre1">
    <w:name w:val="heading 1"/>
    <w:basedOn w:val="Normal"/>
    <w:next w:val="Normal"/>
    <w:qFormat/>
    <w:rsid w:val="007B5D03"/>
    <w:pPr>
      <w:keepNext/>
      <w:jc w:val="center"/>
      <w:outlineLvl w:val="0"/>
    </w:pPr>
    <w:rPr>
      <w:rFonts w:ascii="Arial" w:hAnsi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B5D03"/>
    <w:rPr>
      <w:color w:val="0000FF"/>
      <w:u w:val="single"/>
    </w:rPr>
  </w:style>
  <w:style w:type="paragraph" w:styleId="Retraitcorpsdetexte">
    <w:name w:val="Body Text Indent"/>
    <w:basedOn w:val="Normal"/>
    <w:rsid w:val="007B5D03"/>
    <w:pPr>
      <w:ind w:left="4248"/>
    </w:pPr>
  </w:style>
  <w:style w:type="paragraph" w:styleId="Corpsdetexte">
    <w:name w:val="Body Text"/>
    <w:basedOn w:val="Normal"/>
    <w:rsid w:val="007B5D03"/>
    <w:pPr>
      <w:jc w:val="both"/>
    </w:pPr>
    <w:rPr>
      <w:rFonts w:ascii="Arial" w:hAnsi="Arial"/>
      <w:sz w:val="18"/>
    </w:rPr>
  </w:style>
  <w:style w:type="character" w:styleId="Lienhypertextesuivivisit">
    <w:name w:val="FollowedHyperlink"/>
    <w:basedOn w:val="Policepardfaut"/>
    <w:rsid w:val="007B5D03"/>
    <w:rPr>
      <w:color w:val="800080"/>
      <w:u w:val="single"/>
    </w:rPr>
  </w:style>
  <w:style w:type="paragraph" w:styleId="En-tte">
    <w:name w:val="header"/>
    <w:basedOn w:val="Normal"/>
    <w:rsid w:val="00A52D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52D6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B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D03"/>
  </w:style>
  <w:style w:type="paragraph" w:styleId="Titre1">
    <w:name w:val="heading 1"/>
    <w:basedOn w:val="Normal"/>
    <w:next w:val="Normal"/>
    <w:qFormat/>
    <w:rsid w:val="007B5D03"/>
    <w:pPr>
      <w:keepNext/>
      <w:jc w:val="center"/>
      <w:outlineLvl w:val="0"/>
    </w:pPr>
    <w:rPr>
      <w:rFonts w:ascii="Arial" w:hAnsi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B5D03"/>
    <w:rPr>
      <w:color w:val="0000FF"/>
      <w:u w:val="single"/>
    </w:rPr>
  </w:style>
  <w:style w:type="paragraph" w:styleId="Retraitcorpsdetexte">
    <w:name w:val="Body Text Indent"/>
    <w:basedOn w:val="Normal"/>
    <w:rsid w:val="007B5D03"/>
    <w:pPr>
      <w:ind w:left="4248"/>
    </w:pPr>
  </w:style>
  <w:style w:type="paragraph" w:styleId="Corpsdetexte">
    <w:name w:val="Body Text"/>
    <w:basedOn w:val="Normal"/>
    <w:rsid w:val="007B5D03"/>
    <w:pPr>
      <w:jc w:val="both"/>
    </w:pPr>
    <w:rPr>
      <w:rFonts w:ascii="Arial" w:hAnsi="Arial"/>
      <w:sz w:val="18"/>
    </w:rPr>
  </w:style>
  <w:style w:type="character" w:styleId="Lienhypertextesuivivisit">
    <w:name w:val="FollowedHyperlink"/>
    <w:basedOn w:val="Policepardfaut"/>
    <w:rsid w:val="007B5D03"/>
    <w:rPr>
      <w:color w:val="800080"/>
      <w:u w:val="single"/>
    </w:rPr>
  </w:style>
  <w:style w:type="paragraph" w:styleId="En-tte">
    <w:name w:val="header"/>
    <w:basedOn w:val="Normal"/>
    <w:rsid w:val="00A52D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52D66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B26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tter\Desktop\FICHIERS%20SFC\Courrier%20et%20administration\Logo%20et%20en-tet\en%20tete%20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2011</Template>
  <TotalTime>0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looking forward from filming all the 8 bells,</vt:lpstr>
    </vt:vector>
  </TitlesOfParts>
  <Company>Hewlett-Packard Company</Company>
  <LinksUpToDate>false</LinksUpToDate>
  <CharactersWithSpaces>4070</CharactersWithSpaces>
  <SharedDoc>false</SharedDoc>
  <HLinks>
    <vt:vector size="12" baseType="variant">
      <vt:variant>
        <vt:i4>6094919</vt:i4>
      </vt:variant>
      <vt:variant>
        <vt:i4>6</vt:i4>
      </vt:variant>
      <vt:variant>
        <vt:i4>0</vt:i4>
      </vt:variant>
      <vt:variant>
        <vt:i4>5</vt:i4>
      </vt:variant>
      <vt:variant>
        <vt:lpwstr>http://campanologie.free.fr/</vt:lpwstr>
      </vt:variant>
      <vt:variant>
        <vt:lpwstr/>
      </vt:variant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http://campanologie.free.fr/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forward from filming all the 8 bells,</dc:title>
  <dc:creator>sutter</dc:creator>
  <cp:lastModifiedBy>poste 4</cp:lastModifiedBy>
  <cp:revision>2</cp:revision>
  <cp:lastPrinted>2013-09-09T19:22:00Z</cp:lastPrinted>
  <dcterms:created xsi:type="dcterms:W3CDTF">2013-10-03T14:42:00Z</dcterms:created>
  <dcterms:modified xsi:type="dcterms:W3CDTF">2013-10-03T14:42:00Z</dcterms:modified>
</cp:coreProperties>
</file>